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Постмодерні́зм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hyperlink r:id="rId5" w:tooltip="Французька мова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фр.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fr-FR" w:eastAsia="ru-RU"/>
        </w:rPr>
        <w:t>postmodernisme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ісля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модернізму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 —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світоглядно-мистецький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останні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десятиліття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hyperlink r:id="rId6" w:tooltip="20 століття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 xml:space="preserve">20 </w:t>
        </w:r>
        <w:proofErr w:type="spellStart"/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століття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приходить на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зміну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модернізму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Цей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напрям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продукт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постіндустріальної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епохи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uk-UA"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епохи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розпаду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цілісного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погляду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іт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руйнування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систем —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світоглядно-філософських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економічних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політичних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6DED" w:rsidRPr="00376DED" w:rsidRDefault="00376DED" w:rsidP="00376DED">
      <w:pPr>
        <w:pBdr>
          <w:bottom w:val="single" w:sz="8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Термін</w:t>
      </w:r>
      <w:proofErr w:type="spellEnd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proofErr w:type="spellStart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постмодернізм</w:t>
      </w:r>
      <w:proofErr w:type="spellEnd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»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Вперше термін «постмодернізм» згадується в роботі німецького філософа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7" w:tooltip="Рудольф Панвіц (ще не написана)" w:history="1">
        <w:r w:rsidRPr="00376DED">
          <w:rPr>
            <w:rFonts w:ascii="Times New Roman" w:eastAsia="Times New Roman" w:hAnsi="Times New Roman" w:cs="Times New Roman"/>
            <w:color w:val="A55858"/>
            <w:sz w:val="28"/>
            <w:u w:val="single"/>
            <w:lang w:val="uk-UA" w:eastAsia="ru-RU"/>
          </w:rPr>
          <w:t xml:space="preserve">Рудольфа </w:t>
        </w:r>
        <w:proofErr w:type="spellStart"/>
        <w:r w:rsidRPr="00376DED">
          <w:rPr>
            <w:rFonts w:ascii="Times New Roman" w:eastAsia="Times New Roman" w:hAnsi="Times New Roman" w:cs="Times New Roman"/>
            <w:color w:val="A55858"/>
            <w:sz w:val="28"/>
            <w:u w:val="single"/>
            <w:lang w:val="uk-UA" w:eastAsia="ru-RU"/>
          </w:rPr>
          <w:t>Панвіца</w:t>
        </w:r>
        <w:proofErr w:type="spellEnd"/>
      </w:hyperlink>
      <w:hyperlink r:id="rId8" w:anchor="cite_note-1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vertAlign w:val="superscript"/>
            <w:lang w:val="uk-UA" w:eastAsia="ru-RU"/>
          </w:rPr>
          <w:t>[1]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(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Rudolf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Pannwitz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 «Криза європейської культури»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(1914), але поширився він лише наприкінці 1960-х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pp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спершу для означення стильових тенденцій в архітектурі, спрямованих проти безликої стандартизації, а невдовзі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— у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9" w:tooltip="Література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літературі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0" w:tooltip="Живопис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живописі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та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1" w:tooltip="Музика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музиці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В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2" w:tooltip="Англійська мова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англійській мові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розрізняють терміни «</w:t>
      </w:r>
      <w:hyperlink r:id="rId13" w:tooltip="en:Postmodernism" w:history="1">
        <w:proofErr w:type="spellStart"/>
        <w:r w:rsidRPr="00376DED">
          <w:rPr>
            <w:rFonts w:ascii="Times New Roman" w:eastAsia="Times New Roman" w:hAnsi="Times New Roman" w:cs="Times New Roman"/>
            <w:i/>
            <w:iCs/>
            <w:color w:val="663366"/>
            <w:sz w:val="28"/>
            <w:u w:val="single"/>
            <w:lang w:eastAsia="ru-RU"/>
          </w:rPr>
          <w:t>Postmodernism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» (власне постмодернізм)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— для означення постмодернізму, як історичної епохи, що прийшла на зміну епосі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4" w:tooltip="Модернізм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модернізму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та «</w:t>
      </w:r>
      <w:hyperlink r:id="rId15" w:tooltip="en:Postmodernity" w:history="1">
        <w:proofErr w:type="spellStart"/>
        <w:r w:rsidRPr="00376DED">
          <w:rPr>
            <w:rFonts w:ascii="Times New Roman" w:eastAsia="Times New Roman" w:hAnsi="Times New Roman" w:cs="Times New Roman"/>
            <w:i/>
            <w:iCs/>
            <w:color w:val="663366"/>
            <w:sz w:val="28"/>
            <w:u w:val="single"/>
            <w:lang w:eastAsia="ru-RU"/>
          </w:rPr>
          <w:t>Postmodernity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» (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постмодерність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— який використовується для означення проявів постмодернізму у соціальній та культурній сфера.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Подібне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розрізнення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термінів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характерно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також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6" w:tooltip="Французька мова" w:history="1">
        <w:proofErr w:type="spellStart"/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французькій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мові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hyperlink r:id="rId17" w:tooltip="fr:Postmodernisme" w:history="1">
        <w:proofErr w:type="spellStart"/>
        <w:r w:rsidRPr="00376DED">
          <w:rPr>
            <w:rFonts w:ascii="Times New Roman" w:eastAsia="Times New Roman" w:hAnsi="Times New Roman" w:cs="Times New Roman"/>
            <w:i/>
            <w:iCs/>
            <w:color w:val="663366"/>
            <w:sz w:val="28"/>
            <w:u w:val="single"/>
            <w:lang w:eastAsia="ru-RU"/>
          </w:rPr>
          <w:t>Postmodernisme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8" w:tooltip="fr:Postmodernité" w:history="1">
        <w:proofErr w:type="spellStart"/>
        <w:r w:rsidRPr="00376DED">
          <w:rPr>
            <w:rFonts w:ascii="Times New Roman" w:eastAsia="Times New Roman" w:hAnsi="Times New Roman" w:cs="Times New Roman"/>
            <w:i/>
            <w:iCs/>
            <w:color w:val="663366"/>
            <w:sz w:val="28"/>
            <w:u w:val="single"/>
            <w:lang w:eastAsia="ru-RU"/>
          </w:rPr>
          <w:t>Postmodernité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376DED" w:rsidRPr="00376DED" w:rsidRDefault="00376DED" w:rsidP="00376DED">
      <w:pPr>
        <w:pBdr>
          <w:bottom w:val="single" w:sz="8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Розвиток</w:t>
      </w:r>
      <w:proofErr w:type="spellEnd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постмодернізму</w:t>
      </w:r>
      <w:proofErr w:type="spellEnd"/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Як філософська категорія термін «постмодернізм» отримав розповсюдження завдяки філософам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19" w:tooltip="Жак Дерріда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Жаку Дерріді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20" w:tooltip="Жорж Батай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 xml:space="preserve">Жоржу </w:t>
        </w:r>
        <w:proofErr w:type="spellStart"/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>Батаю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</w:t>
      </w:r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21" w:tooltip="Фуко Мішель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val="uk-UA" w:eastAsia="ru-RU"/>
          </w:rPr>
          <w:t xml:space="preserve">Мішелю </w:t>
        </w:r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Фуко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особливо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книзі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французького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філософа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hyperlink r:id="rId22" w:tooltip="Жан-Франсуа Ліотар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 xml:space="preserve">Жана-Франсуа </w:t>
        </w:r>
        <w:proofErr w:type="spellStart"/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Ліотара</w:t>
        </w:r>
        <w:proofErr w:type="spellEnd"/>
      </w:hyperlink>
      <w:r w:rsidRPr="00376DED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«Стан постмодерну» (</w:t>
      </w:r>
      <w:hyperlink r:id="rId23" w:tooltip="1979" w:history="1">
        <w:r w:rsidRPr="00376DED">
          <w:rPr>
            <w:rFonts w:ascii="Times New Roman" w:eastAsia="Times New Roman" w:hAnsi="Times New Roman" w:cs="Times New Roman"/>
            <w:color w:val="0B0080"/>
            <w:sz w:val="28"/>
            <w:u w:val="single"/>
            <w:lang w:eastAsia="ru-RU"/>
          </w:rPr>
          <w:t>1979</w:t>
        </w:r>
      </w:hyperlink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Постмодерністи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завдяки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гіркому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історичному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досвідові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переконалися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марноті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спроб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поліпшити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іт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втратили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ідеологічні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ілюзії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вважаючи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людина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позбавлена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змоги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лише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змінити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світ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осягнути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систематизувати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подія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завжди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випереджає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теорію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Прогрес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визнається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ними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лише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ілюзією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з'</w:t>
      </w:r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являється</w:t>
      </w:r>
      <w:proofErr w:type="spellEnd"/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відчуття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вичерпності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історії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естетики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мистецтва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Реальним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вважається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варіювання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співіснування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усіх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найдавніших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новітніх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форм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буття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Принципи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повторюваності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сумісності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перетворюються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стиль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художнього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мислення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притаманними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рисами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еклектики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тяжінням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стил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ізації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цитування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переінакшення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ремінісценції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алюзії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Митець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має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справу не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«чистим»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матеріалом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культурно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освоєним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адже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існування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мистецтва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попередніх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класичних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формах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неможливе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постіндустріальному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суспільстві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необмеженим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потенціалом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серійного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відтворення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тиражування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епохи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постмодерну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характерні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конкурентна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демократія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узгодження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інтересів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ізних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груп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суспільного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договору,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ринкова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економіка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масовим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споживанням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джерела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соціальної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нерівності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індивідуалізація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плюралізація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життєвих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стилів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Прогресуючою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стає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регіональна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нерівність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Філософський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постмодерн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оголошує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все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відносним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крім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самої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відносності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6DED" w:rsidRPr="00376DED" w:rsidRDefault="00376DED" w:rsidP="00376DED">
      <w:pPr>
        <w:shd w:val="clear" w:color="auto" w:fill="FFFFFF"/>
        <w:spacing w:before="120" w:after="120" w:line="448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постмодерністському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ізнавальному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дискурсі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збільшується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роль </w:t>
      </w:r>
      <w:proofErr w:type="spellStart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індивідуального</w:t>
      </w:r>
      <w:proofErr w:type="spellEnd"/>
      <w:r w:rsidRPr="00376D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76DED" w:rsidRPr="00376DED" w:rsidRDefault="00376DED" w:rsidP="00376DED">
      <w:pPr>
        <w:pBdr>
          <w:bottom w:val="single" w:sz="8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spellStart"/>
      <w:r w:rsidRPr="0037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Риси</w:t>
      </w:r>
      <w:proofErr w:type="spellEnd"/>
      <w:r w:rsidRPr="0037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7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постмодернізму</w:t>
      </w:r>
      <w:proofErr w:type="spellEnd"/>
      <w:r w:rsidRPr="0037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7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мистецтві</w:t>
      </w:r>
      <w:proofErr w:type="spellEnd"/>
    </w:p>
    <w:tbl>
      <w:tblPr>
        <w:tblpPr w:leftFromText="180" w:rightFromText="180" w:vertAnchor="text" w:tblpY="1"/>
        <w:tblOverlap w:val="never"/>
        <w:tblW w:w="4900" w:type="pct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7022"/>
      </w:tblGrid>
      <w:tr w:rsidR="00376DED" w:rsidRPr="00376DED" w:rsidTr="00376DED">
        <w:tc>
          <w:tcPr>
            <w:tcW w:w="5000" w:type="pct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Порівняльна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таблиця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модернізм-постмодернізм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за</w:t>
            </w:r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hyperlink r:id="rId24" w:tooltip="Брайнін Валерій Борисович" w:history="1">
              <w:proofErr w:type="spellStart"/>
              <w:r w:rsidRPr="00376DE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ru-RU"/>
                </w:rPr>
                <w:t>Брайніним-Пассеком</w:t>
              </w:r>
              <w:proofErr w:type="spellEnd"/>
            </w:hyperlink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модернізм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постмодернізм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Скандальність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Конформізм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Антиміщанський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пафос</w:t>
            </w:r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Відсутність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пафосу</w:t>
            </w:r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Емоційне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заперечення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попереднього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</w:t>
            </w:r>
            <w:proofErr w:type="gram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лове</w:t>
            </w:r>
            <w:proofErr w:type="spellEnd"/>
            <w:proofErr w:type="gram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заперечення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попереднього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Первинність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позиція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Вторинність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позиція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Оціночне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самоназві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«Ми —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Безоціночне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самоназві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«Ми — все»</w:t>
            </w:r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Декларована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елітарність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Недекларована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демократичність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Переважання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ідеального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матеріальним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Комерційний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успіх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Антиутопічність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Фактична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культурна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спадкоємність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Відмова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культурної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парадигми</w:t>
            </w:r>
            <w:proofErr w:type="spellEnd"/>
          </w:p>
        </w:tc>
      </w:tr>
      <w:tr w:rsidR="00376DED" w:rsidRPr="00376DED" w:rsidTr="00376DED">
        <w:tc>
          <w:tcPr>
            <w:tcW w:w="1209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Виразність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кордону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мистецтво-немистецтво</w:t>
            </w:r>
            <w:proofErr w:type="spellEnd"/>
          </w:p>
        </w:tc>
        <w:tc>
          <w:tcPr>
            <w:tcW w:w="3791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76DED" w:rsidRPr="00376DED" w:rsidRDefault="00376DED" w:rsidP="00376DED">
            <w:pPr>
              <w:spacing w:before="240" w:after="240" w:line="4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називатися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мистецтвом</w:t>
            </w:r>
            <w:proofErr w:type="spellEnd"/>
          </w:p>
        </w:tc>
      </w:tr>
    </w:tbl>
    <w:p w:rsidR="0017232B" w:rsidRPr="00376DED" w:rsidRDefault="00376DED" w:rsidP="00376DED">
      <w:pPr>
        <w:jc w:val="both"/>
        <w:rPr>
          <w:rFonts w:ascii="Times New Roman" w:hAnsi="Times New Roman" w:cs="Times New Roman"/>
          <w:sz w:val="20"/>
          <w:szCs w:val="20"/>
        </w:rPr>
      </w:pPr>
      <w:r w:rsidRPr="00376DED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17232B" w:rsidRPr="00376DED" w:rsidSect="0017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5DB"/>
    <w:multiLevelType w:val="multilevel"/>
    <w:tmpl w:val="2E4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6DED"/>
    <w:rsid w:val="0017232B"/>
    <w:rsid w:val="0037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2B"/>
  </w:style>
  <w:style w:type="paragraph" w:styleId="2">
    <w:name w:val="heading 2"/>
    <w:basedOn w:val="a"/>
    <w:link w:val="20"/>
    <w:uiPriority w:val="9"/>
    <w:qFormat/>
    <w:rsid w:val="0037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DED"/>
  </w:style>
  <w:style w:type="character" w:styleId="a4">
    <w:name w:val="Hyperlink"/>
    <w:basedOn w:val="a0"/>
    <w:uiPriority w:val="99"/>
    <w:semiHidden/>
    <w:unhideWhenUsed/>
    <w:rsid w:val="00376DED"/>
    <w:rPr>
      <w:color w:val="0000FF"/>
      <w:u w:val="single"/>
    </w:rPr>
  </w:style>
  <w:style w:type="character" w:customStyle="1" w:styleId="toctoggle">
    <w:name w:val="toctoggle"/>
    <w:basedOn w:val="a0"/>
    <w:rsid w:val="00376DED"/>
  </w:style>
  <w:style w:type="character" w:customStyle="1" w:styleId="tocnumber">
    <w:name w:val="tocnumber"/>
    <w:basedOn w:val="a0"/>
    <w:rsid w:val="00376DED"/>
  </w:style>
  <w:style w:type="character" w:customStyle="1" w:styleId="toctext">
    <w:name w:val="toctext"/>
    <w:basedOn w:val="a0"/>
    <w:rsid w:val="00376DED"/>
  </w:style>
  <w:style w:type="character" w:customStyle="1" w:styleId="mw-headline">
    <w:name w:val="mw-headline"/>
    <w:basedOn w:val="a0"/>
    <w:rsid w:val="00376DED"/>
  </w:style>
  <w:style w:type="character" w:customStyle="1" w:styleId="mw-editsection">
    <w:name w:val="mw-editsection"/>
    <w:basedOn w:val="a0"/>
    <w:rsid w:val="00376DED"/>
  </w:style>
  <w:style w:type="character" w:customStyle="1" w:styleId="mw-editsection-bracket">
    <w:name w:val="mw-editsection-bracket"/>
    <w:basedOn w:val="a0"/>
    <w:rsid w:val="00376DED"/>
  </w:style>
  <w:style w:type="character" w:customStyle="1" w:styleId="mw-editsection-divider">
    <w:name w:val="mw-editsection-divider"/>
    <w:basedOn w:val="a0"/>
    <w:rsid w:val="00376DED"/>
  </w:style>
  <w:style w:type="character" w:customStyle="1" w:styleId="collapsebutton">
    <w:name w:val="collapsebutton"/>
    <w:basedOn w:val="a0"/>
    <w:rsid w:val="00376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02">
          <w:marLeft w:val="0"/>
          <w:marRight w:val="0"/>
          <w:marTop w:val="0"/>
          <w:marBottom w:val="0"/>
          <w:divBdr>
            <w:top w:val="single" w:sz="8" w:space="7" w:color="AAAAAA"/>
            <w:left w:val="single" w:sz="8" w:space="7" w:color="AAAAAA"/>
            <w:bottom w:val="single" w:sz="8" w:space="7" w:color="AAAAAA"/>
            <w:right w:val="single" w:sz="8" w:space="7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E%D1%81%D1%82%D0%BC%D0%BE%D0%B4%D0%B5%D1%80%D0%BD%D1%96%D0%B7%D0%BC" TargetMode="External"/><Relationship Id="rId13" Type="http://schemas.openxmlformats.org/officeDocument/2006/relationships/hyperlink" Target="http://en.wikipedia.org/wiki/Postmodernism" TargetMode="External"/><Relationship Id="rId18" Type="http://schemas.openxmlformats.org/officeDocument/2006/relationships/hyperlink" Target="http://fr.wikipedia.org/wiki/Postmodernit%C3%A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1%83%D0%BA%D0%BE_%D0%9C%D1%96%D1%88%D0%B5%D0%BB%D1%8C" TargetMode="External"/><Relationship Id="rId7" Type="http://schemas.openxmlformats.org/officeDocument/2006/relationships/hyperlink" Target="http://uk.wikipedia.org/w/index.php?title=%D0%A0%D1%83%D0%B4%D0%BE%D0%BB%D1%8C%D1%84_%D0%9F%D0%B0%D0%BD%D0%B2%D1%96%D1%86&amp;action=edit&amp;redlink=1" TargetMode="External"/><Relationship Id="rId12" Type="http://schemas.openxmlformats.org/officeDocument/2006/relationships/hyperlink" Target="http://uk.wikipedia.org/wiki/%D0%90%D0%BD%D0%B3%D0%BB%D1%96%D0%B9%D1%81%D1%8C%D0%BA%D0%B0_%D0%BC%D0%BE%D0%B2%D0%B0" TargetMode="External"/><Relationship Id="rId17" Type="http://schemas.openxmlformats.org/officeDocument/2006/relationships/hyperlink" Target="http://fr.wikipedia.org/wiki/Postmodernism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4%D1%80%D0%B0%D0%BD%D1%86%D1%83%D0%B7%D1%8C%D0%BA%D0%B0_%D0%BC%D0%BE%D0%B2%D0%B0" TargetMode="External"/><Relationship Id="rId20" Type="http://schemas.openxmlformats.org/officeDocument/2006/relationships/hyperlink" Target="http://uk.wikipedia.org/wiki/%D0%96%D0%BE%D1%80%D0%B6_%D0%91%D0%B0%D1%82%D0%B0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20_%D1%81%D1%82%D0%BE%D0%BB%D1%96%D1%82%D1%82%D1%8F" TargetMode="External"/><Relationship Id="rId11" Type="http://schemas.openxmlformats.org/officeDocument/2006/relationships/hyperlink" Target="http://uk.wikipedia.org/wiki/%D0%9C%D1%83%D0%B7%D0%B8%D0%BA%D0%B0" TargetMode="External"/><Relationship Id="rId24" Type="http://schemas.openxmlformats.org/officeDocument/2006/relationships/hyperlink" Target="http://uk.wikipedia.org/wiki/%D0%91%D1%80%D0%B0%D0%B9%D0%BD%D1%96%D0%BD_%D0%92%D0%B0%D0%BB%D0%B5%D1%80%D1%96%D0%B9_%D0%91%D0%BE%D1%80%D0%B8%D1%81%D0%BE%D0%B2%D0%B8%D1%87" TargetMode="External"/><Relationship Id="rId5" Type="http://schemas.openxmlformats.org/officeDocument/2006/relationships/hyperlink" Target="http://uk.wikipedia.org/wiki/%D0%A4%D1%80%D0%B0%D0%BD%D1%86%D1%83%D0%B7%D1%8C%D0%BA%D0%B0_%D0%BC%D0%BE%D0%B2%D0%B0" TargetMode="External"/><Relationship Id="rId15" Type="http://schemas.openxmlformats.org/officeDocument/2006/relationships/hyperlink" Target="http://en.wikipedia.org/wiki/Postmodernity" TargetMode="External"/><Relationship Id="rId23" Type="http://schemas.openxmlformats.org/officeDocument/2006/relationships/hyperlink" Target="http://uk.wikipedia.org/wiki/1979" TargetMode="External"/><Relationship Id="rId10" Type="http://schemas.openxmlformats.org/officeDocument/2006/relationships/hyperlink" Target="http://uk.wikipedia.org/wiki/%D0%96%D0%B8%D0%B2%D0%BE%D0%BF%D0%B8%D1%81" TargetMode="External"/><Relationship Id="rId19" Type="http://schemas.openxmlformats.org/officeDocument/2006/relationships/hyperlink" Target="http://uk.wikipedia.org/wiki/%D0%96%D0%B0%D0%BA_%D0%94%D0%B5%D1%80%D1%80%D1%96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B%D1%96%D1%82%D0%B5%D1%80%D0%B0%D1%82%D1%83%D1%80%D0%B0" TargetMode="External"/><Relationship Id="rId14" Type="http://schemas.openxmlformats.org/officeDocument/2006/relationships/hyperlink" Target="http://uk.wikipedia.org/wiki/%D0%9C%D0%BE%D0%B4%D0%B5%D1%80%D0%BD%D1%96%D0%B7%D0%BC" TargetMode="External"/><Relationship Id="rId22" Type="http://schemas.openxmlformats.org/officeDocument/2006/relationships/hyperlink" Target="http://uk.wikipedia.org/wiki/%D0%96%D0%B0%D0%BD-%D0%A4%D1%80%D0%B0%D0%BD%D1%81%D1%83%D0%B0_%D0%9B%D1%96%D0%BE%D1%82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866</Words>
  <Characters>4939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2015-01-18T13:13:00Z</dcterms:created>
  <dcterms:modified xsi:type="dcterms:W3CDTF">2015-01-18T13:20:00Z</dcterms:modified>
</cp:coreProperties>
</file>